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«МРСК Юга»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«МРСК Юга»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своевременная реализация инвестиционных программ, которая положительно отразится на перспективах развития инфраструктуры электрических сетей регионов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«МРСК Юга»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DD1CE7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По итогам деятельности за </w:t>
      </w:r>
      <w:r w:rsidR="009A033E" w:rsidRPr="009A033E">
        <w:rPr>
          <w:rFonts w:cstheme="minorHAnsi"/>
        </w:rPr>
        <w:t xml:space="preserve">9 </w:t>
      </w:r>
      <w:r w:rsidR="009A033E">
        <w:rPr>
          <w:rFonts w:cstheme="minorHAnsi"/>
        </w:rPr>
        <w:t>месяцев</w:t>
      </w:r>
      <w:r w:rsidR="00E450CB">
        <w:rPr>
          <w:rFonts w:cstheme="minorHAnsi"/>
        </w:rPr>
        <w:t xml:space="preserve"> </w:t>
      </w:r>
      <w:r>
        <w:rPr>
          <w:rFonts w:cstheme="minorHAnsi"/>
        </w:rPr>
        <w:t>201</w:t>
      </w:r>
      <w:r w:rsidR="00E450CB">
        <w:rPr>
          <w:rFonts w:cstheme="minorHAnsi"/>
        </w:rPr>
        <w:t>9</w:t>
      </w:r>
      <w:r>
        <w:rPr>
          <w:rFonts w:cstheme="minorHAnsi"/>
        </w:rPr>
        <w:t xml:space="preserve"> год</w:t>
      </w:r>
      <w:r w:rsidR="00E450CB">
        <w:rPr>
          <w:rFonts w:cstheme="minorHAnsi"/>
        </w:rPr>
        <w:t>а</w:t>
      </w:r>
      <w:r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33316F">
      <w:pPr>
        <w:rPr>
          <w:rFonts w:cstheme="minorHAnsi"/>
          <w:b/>
        </w:rPr>
      </w:pPr>
      <w:r>
        <w:rPr>
          <w:noProof/>
          <w:lang w:eastAsia="ru-RU"/>
        </w:rPr>
        <w:drawing>
          <wp:inline distT="0" distB="0" distL="0" distR="0" wp14:anchorId="2721FFB5" wp14:editId="5E5B8943">
            <wp:extent cx="5895975" cy="3333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9A033E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9 месяцев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100" w:firstLine="220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9A033E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26 935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9A033E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25 892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9A033E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9A033E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9A033E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9A033E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655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9A033E" w:rsidP="009A0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9A033E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9A033E" w:rsidP="009A0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bookmarkStart w:id="0" w:name="_GoBack"/>
            <w:bookmarkEnd w:id="0"/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C5D3A"/>
    <w:rsid w:val="00153B3E"/>
    <w:rsid w:val="001711F8"/>
    <w:rsid w:val="001E0FE1"/>
    <w:rsid w:val="002836FA"/>
    <w:rsid w:val="002D191E"/>
    <w:rsid w:val="00310092"/>
    <w:rsid w:val="0033316F"/>
    <w:rsid w:val="00335C08"/>
    <w:rsid w:val="003A7F7F"/>
    <w:rsid w:val="003D1885"/>
    <w:rsid w:val="004356F0"/>
    <w:rsid w:val="004C5282"/>
    <w:rsid w:val="00527315"/>
    <w:rsid w:val="00574F98"/>
    <w:rsid w:val="005A2072"/>
    <w:rsid w:val="005F4681"/>
    <w:rsid w:val="00643702"/>
    <w:rsid w:val="006460BD"/>
    <w:rsid w:val="00666ABA"/>
    <w:rsid w:val="0088755C"/>
    <w:rsid w:val="00920F01"/>
    <w:rsid w:val="00927877"/>
    <w:rsid w:val="00935DCF"/>
    <w:rsid w:val="0094232C"/>
    <w:rsid w:val="009A033E"/>
    <w:rsid w:val="009B31E9"/>
    <w:rsid w:val="00A561FF"/>
    <w:rsid w:val="00BC2787"/>
    <w:rsid w:val="00C96AD4"/>
    <w:rsid w:val="00D23442"/>
    <w:rsid w:val="00DB24FA"/>
    <w:rsid w:val="00DB3A28"/>
    <w:rsid w:val="00DB7B45"/>
    <w:rsid w:val="00DD051C"/>
    <w:rsid w:val="00DD1CE7"/>
    <w:rsid w:val="00E17422"/>
    <w:rsid w:val="00E450CB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A9D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выручки от оказанных услуг </a:t>
            </a:r>
          </a:p>
          <a:p>
            <a:pPr>
              <a:defRPr sz="1400"/>
            </a:pPr>
            <a:r>
              <a:rPr lang="ru-RU" sz="1400"/>
              <a:t>за 9 месяцев 2019 года, млн. рублей </a:t>
            </a:r>
          </a:p>
        </c:rich>
      </c:tx>
      <c:layout>
        <c:manualLayout>
          <c:xMode val="edge"/>
          <c:yMode val="edge"/>
          <c:x val="0.19737753297800617"/>
          <c:y val="2.2857142857142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47591789313893E-2"/>
          <c:y val="0.2151700037495313"/>
          <c:w val="0.67500811994623455"/>
          <c:h val="0.760559277368554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35-438D-BAEF-788FB2F3E8F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35-438D-BAEF-788FB2F3E8F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35-438D-BAEF-788FB2F3E8F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35-438D-BAEF-788FB2F3E8FE}"/>
              </c:ext>
            </c:extLst>
          </c:dPt>
          <c:dLbls>
            <c:dLbl>
              <c:idx val="0"/>
              <c:layout>
                <c:manualLayout>
                  <c:x val="0.15508885298869135"/>
                  <c:y val="3.4285714285714322E-2"/>
                </c:manualLayout>
              </c:layout>
              <c:tx>
                <c:rich>
                  <a:bodyPr/>
                  <a:lstStyle/>
                  <a:p>
                    <a:fld id="{B41F6AA4-0E7C-4C58-8BC9-E2A2B733D015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 </a:t>
                    </a:r>
                    <a:fld id="{B384814B-1B82-457E-9FBD-A30197DB7D4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35-438D-BAEF-788FB2F3E8FE}"/>
                </c:ext>
              </c:extLst>
            </c:dLbl>
            <c:dLbl>
              <c:idx val="1"/>
              <c:layout>
                <c:manualLayout>
                  <c:x val="-6.4620355411955559E-3"/>
                  <c:y val="6.0952380952380952E-2"/>
                </c:manualLayout>
              </c:layout>
              <c:tx>
                <c:rich>
                  <a:bodyPr/>
                  <a:lstStyle/>
                  <a:p>
                    <a:fld id="{35BCA558-7A83-4E6A-A26E-44864D943851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6B8BCDD1-9147-4C8A-9B78-FAB6E71B5D9E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35-438D-BAEF-788FB2F3E8FE}"/>
                </c:ext>
              </c:extLst>
            </c:dLbl>
            <c:dLbl>
              <c:idx val="2"/>
              <c:layout>
                <c:manualLayout>
                  <c:x val="-0.18093699515347333"/>
                  <c:y val="4.9523809523809491E-2"/>
                </c:manualLayout>
              </c:layout>
              <c:tx>
                <c:rich>
                  <a:bodyPr/>
                  <a:lstStyle/>
                  <a:p>
                    <a:fld id="{CBE858DB-C57F-4719-9B36-9C3ADA28E485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млн.рублей</a:t>
                    </a:r>
                    <a:r>
                      <a:rPr lang="ru-RU" baseline="0"/>
                      <a:t>;</a:t>
                    </a:r>
                  </a:p>
                  <a:p>
                    <a:fld id="{6E05D6E4-D3FB-4E26-A910-E73CDB686D97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35-438D-BAEF-788FB2F3E8FE}"/>
                </c:ext>
              </c:extLst>
            </c:dLbl>
            <c:dLbl>
              <c:idx val="3"/>
              <c:layout>
                <c:manualLayout>
                  <c:x val="-1.9386106623586429E-2"/>
                  <c:y val="-3.4285714285714287E-2"/>
                </c:manualLayout>
              </c:layout>
              <c:tx>
                <c:rich>
                  <a:bodyPr/>
                  <a:lstStyle/>
                  <a:p>
                    <a:fld id="{B7EB9997-5756-4737-9612-15F69E6FE7B4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01E890D8-6562-43E4-A79D-0D570B076E4C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35-438D-BAEF-788FB2F3E8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Лист1!$D$30:$G$30</c:f>
              <c:numCache>
                <c:formatCode>#,##0</c:formatCode>
                <c:ptCount val="4"/>
                <c:pt idx="0">
                  <c:v>654.73323073000006</c:v>
                </c:pt>
                <c:pt idx="1">
                  <c:v>25892.051353122934</c:v>
                </c:pt>
                <c:pt idx="2">
                  <c:v>202.11993399999997</c:v>
                </c:pt>
                <c:pt idx="3">
                  <c:v>185.59749728999998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5-438D-BAEF-788FB2F3E8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35653136249734"/>
          <c:y val="0.1374579311658623"/>
          <c:w val="0.26271939755511176"/>
          <c:h val="0.71500349250698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Машнова Светлана Вячеславовна</cp:lastModifiedBy>
  <cp:revision>9</cp:revision>
  <dcterms:created xsi:type="dcterms:W3CDTF">2018-05-16T12:25:00Z</dcterms:created>
  <dcterms:modified xsi:type="dcterms:W3CDTF">2019-11-07T06:14:00Z</dcterms:modified>
</cp:coreProperties>
</file>